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F534ED" w:rsidRPr="00A578AF">
        <w:rPr>
          <w:rFonts w:cs="Arial"/>
          <w:sz w:val="28"/>
          <w:szCs w:val="28"/>
        </w:rPr>
        <w:t>Wo sind die Punkte?</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F534ED" w:rsidRPr="00CA4F42" w:rsidTr="00F534ED">
        <w:tc>
          <w:tcPr>
            <w:tcW w:w="2466" w:type="dxa"/>
            <w:vAlign w:val="center"/>
          </w:tcPr>
          <w:p w:rsidR="00F534ED" w:rsidRPr="00FE6928" w:rsidRDefault="00F534ED" w:rsidP="00E73945">
            <w:pPr>
              <w:pStyle w:val="IQB-Merkmal"/>
            </w:pPr>
            <w:r w:rsidRPr="00FE6928">
              <w:t>Leitidee</w:t>
            </w:r>
          </w:p>
        </w:tc>
        <w:tc>
          <w:tcPr>
            <w:tcW w:w="6604" w:type="dxa"/>
          </w:tcPr>
          <w:p w:rsidR="00F534ED" w:rsidRPr="00FE6928" w:rsidRDefault="00F534ED" w:rsidP="00E73945">
            <w:pPr>
              <w:pStyle w:val="IQB-Merkmalswert"/>
            </w:pPr>
            <w:r w:rsidRPr="00FE6928">
              <w:t>4. Funktionaler Zusammenhang</w:t>
            </w:r>
          </w:p>
        </w:tc>
      </w:tr>
      <w:tr w:rsidR="00F534ED" w:rsidRPr="00CA4F42" w:rsidTr="00F534ED">
        <w:tc>
          <w:tcPr>
            <w:tcW w:w="2466" w:type="dxa"/>
            <w:vAlign w:val="center"/>
          </w:tcPr>
          <w:p w:rsidR="00F534ED" w:rsidRPr="00FE6928" w:rsidRDefault="00F534ED" w:rsidP="00E73945">
            <w:pPr>
              <w:pStyle w:val="IQB-Merkmal"/>
            </w:pPr>
            <w:r w:rsidRPr="00FE6928">
              <w:t>Allgemeine Kompetenzen</w:t>
            </w:r>
          </w:p>
        </w:tc>
        <w:tc>
          <w:tcPr>
            <w:tcW w:w="6604" w:type="dxa"/>
          </w:tcPr>
          <w:p w:rsidR="00F534ED" w:rsidRPr="00FE6928" w:rsidRDefault="00F534ED" w:rsidP="00E73945">
            <w:pPr>
              <w:pStyle w:val="IQB-Merkmalswert"/>
            </w:pPr>
            <w:r>
              <w:t>Mathematische Darstellungen verwenden (K4)</w:t>
            </w:r>
          </w:p>
        </w:tc>
      </w:tr>
      <w:tr w:rsidR="00F534ED" w:rsidRPr="00CA4F42" w:rsidTr="00F534ED">
        <w:tc>
          <w:tcPr>
            <w:tcW w:w="2466" w:type="dxa"/>
            <w:vAlign w:val="center"/>
          </w:tcPr>
          <w:p w:rsidR="00F534ED" w:rsidRPr="00FE6928" w:rsidRDefault="00F534ED" w:rsidP="00E73945">
            <w:pPr>
              <w:pStyle w:val="IQB-Merkmal"/>
            </w:pPr>
            <w:r w:rsidRPr="00FE6928">
              <w:t>Anforderungsbereich</w:t>
            </w:r>
          </w:p>
        </w:tc>
        <w:tc>
          <w:tcPr>
            <w:tcW w:w="6604" w:type="dxa"/>
          </w:tcPr>
          <w:p w:rsidR="00F534ED" w:rsidRPr="00FE6928" w:rsidRDefault="00F534ED" w:rsidP="00E73945">
            <w:pPr>
              <w:pStyle w:val="IQB-Merkmalswert"/>
            </w:pPr>
            <w:r w:rsidRPr="00FE6928">
              <w:t>I</w:t>
            </w:r>
          </w:p>
        </w:tc>
      </w:tr>
      <w:tr w:rsidR="00F534ED" w:rsidRPr="00CA4F42" w:rsidTr="00F534ED">
        <w:tc>
          <w:tcPr>
            <w:tcW w:w="2466" w:type="dxa"/>
            <w:vAlign w:val="center"/>
          </w:tcPr>
          <w:p w:rsidR="00F534ED" w:rsidRPr="00FE6928" w:rsidRDefault="00F534ED" w:rsidP="00E73945">
            <w:pPr>
              <w:pStyle w:val="IQB-Merkmal"/>
            </w:pPr>
            <w:r w:rsidRPr="00FE6928">
              <w:t>Kompetenzstufe</w:t>
            </w:r>
          </w:p>
        </w:tc>
        <w:tc>
          <w:tcPr>
            <w:tcW w:w="6604" w:type="dxa"/>
          </w:tcPr>
          <w:p w:rsidR="00F534ED" w:rsidRPr="00FE6928" w:rsidRDefault="00F534ED" w:rsidP="00E73945">
            <w:pPr>
              <w:pStyle w:val="IQB-Merkmalswert"/>
            </w:pPr>
            <w:r w:rsidRPr="00FE6928">
              <w:t>1b</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F534ED" w:rsidRPr="00CA4F42" w:rsidTr="00F534ED">
        <w:tc>
          <w:tcPr>
            <w:tcW w:w="2466" w:type="dxa"/>
            <w:vAlign w:val="center"/>
          </w:tcPr>
          <w:p w:rsidR="00F534ED" w:rsidRPr="00FE6928" w:rsidRDefault="00F534ED" w:rsidP="00E73945">
            <w:pPr>
              <w:pStyle w:val="IQB-Merkmal"/>
            </w:pPr>
            <w:r w:rsidRPr="00FE6928">
              <w:t>Leitidee</w:t>
            </w:r>
          </w:p>
        </w:tc>
        <w:tc>
          <w:tcPr>
            <w:tcW w:w="6604" w:type="dxa"/>
          </w:tcPr>
          <w:p w:rsidR="00F534ED" w:rsidRPr="00FE6928" w:rsidRDefault="00F534ED" w:rsidP="00E73945">
            <w:pPr>
              <w:pStyle w:val="IQB-Merkmalswert"/>
            </w:pPr>
            <w:r w:rsidRPr="00FE6928">
              <w:t>4. Funktionaler Zusammenhang</w:t>
            </w:r>
          </w:p>
        </w:tc>
      </w:tr>
      <w:tr w:rsidR="00F534ED" w:rsidRPr="00CA4F42" w:rsidTr="00F534ED">
        <w:tc>
          <w:tcPr>
            <w:tcW w:w="2466" w:type="dxa"/>
            <w:vAlign w:val="center"/>
          </w:tcPr>
          <w:p w:rsidR="00F534ED" w:rsidRPr="00FE6928" w:rsidRDefault="00F534ED" w:rsidP="00E73945">
            <w:pPr>
              <w:pStyle w:val="IQB-Merkmal"/>
            </w:pPr>
            <w:r w:rsidRPr="00FE6928">
              <w:t>Allgemeine Kompetenzen</w:t>
            </w:r>
          </w:p>
        </w:tc>
        <w:tc>
          <w:tcPr>
            <w:tcW w:w="6604" w:type="dxa"/>
          </w:tcPr>
          <w:p w:rsidR="00F534ED" w:rsidRPr="00FE6928" w:rsidRDefault="00F534ED" w:rsidP="00E73945">
            <w:pPr>
              <w:pStyle w:val="IQB-Merkmalswert"/>
            </w:pPr>
            <w:r>
              <w:t>Mathematische Darstellungen verwenden (K4)</w:t>
            </w:r>
          </w:p>
        </w:tc>
      </w:tr>
      <w:tr w:rsidR="00F534ED" w:rsidRPr="00CA4F42" w:rsidTr="00F534ED">
        <w:tc>
          <w:tcPr>
            <w:tcW w:w="2466" w:type="dxa"/>
            <w:vAlign w:val="center"/>
          </w:tcPr>
          <w:p w:rsidR="00F534ED" w:rsidRPr="00FE6928" w:rsidRDefault="00F534ED" w:rsidP="00E73945">
            <w:pPr>
              <w:pStyle w:val="IQB-Merkmal"/>
            </w:pPr>
            <w:r w:rsidRPr="00FE6928">
              <w:t>Anforderungsbereich</w:t>
            </w:r>
          </w:p>
        </w:tc>
        <w:tc>
          <w:tcPr>
            <w:tcW w:w="6604" w:type="dxa"/>
          </w:tcPr>
          <w:p w:rsidR="00F534ED" w:rsidRPr="00FE6928" w:rsidRDefault="00F534ED" w:rsidP="00E73945">
            <w:pPr>
              <w:pStyle w:val="IQB-Merkmalswert"/>
            </w:pPr>
            <w:r w:rsidRPr="00FE6928">
              <w:t>I</w:t>
            </w:r>
          </w:p>
        </w:tc>
      </w:tr>
      <w:tr w:rsidR="00F534ED" w:rsidRPr="00CA4F42" w:rsidTr="00F534ED">
        <w:tc>
          <w:tcPr>
            <w:tcW w:w="2466" w:type="dxa"/>
            <w:vAlign w:val="center"/>
          </w:tcPr>
          <w:p w:rsidR="00F534ED" w:rsidRPr="00FE6928" w:rsidRDefault="00F534ED" w:rsidP="00E73945">
            <w:pPr>
              <w:pStyle w:val="IQB-Merkmal"/>
            </w:pPr>
            <w:r w:rsidRPr="00FE6928">
              <w:t>Kompetenzstufe</w:t>
            </w:r>
          </w:p>
        </w:tc>
        <w:tc>
          <w:tcPr>
            <w:tcW w:w="6604" w:type="dxa"/>
          </w:tcPr>
          <w:p w:rsidR="00F534ED" w:rsidRPr="00FE6928" w:rsidRDefault="00F534ED" w:rsidP="00E73945">
            <w:pPr>
              <w:pStyle w:val="IQB-Merkmalswert"/>
            </w:pPr>
            <w:r w:rsidRPr="00FE6928">
              <w:t>1b</w:t>
            </w:r>
          </w:p>
        </w:tc>
      </w:tr>
    </w:tbl>
    <w:p w:rsidR="00694A63" w:rsidRPr="00694A63" w:rsidRDefault="00694A63" w:rsidP="00694A63">
      <w:pPr>
        <w:pStyle w:val="IQB-Teilaufgabentitel"/>
        <w:rPr>
          <w:b/>
        </w:rPr>
      </w:pPr>
      <w:r w:rsidRPr="00694A63">
        <w:rPr>
          <w:b/>
        </w:rPr>
        <w:t>Aufgabenbezogener Kommentar</w:t>
      </w:r>
    </w:p>
    <w:p w:rsidR="00F534ED" w:rsidRPr="00CA4F42" w:rsidRDefault="00F534ED" w:rsidP="00F534ED">
      <w:pPr>
        <w:pStyle w:val="IQB-AnweisungenText"/>
        <w:spacing w:before="0"/>
        <w:rPr>
          <w:rFonts w:ascii="Arial" w:hAnsi="Arial"/>
          <w:sz w:val="22"/>
          <w:szCs w:val="22"/>
        </w:rPr>
      </w:pPr>
      <w:r w:rsidRPr="00CA4F42">
        <w:rPr>
          <w:rFonts w:ascii="Arial" w:hAnsi="Arial"/>
          <w:sz w:val="22"/>
          <w:szCs w:val="22"/>
        </w:rPr>
        <w:t xml:space="preserve">Diese Aufgabe ist der </w:t>
      </w:r>
      <w:r w:rsidRPr="00AC3174">
        <w:rPr>
          <w:rFonts w:ascii="Arial" w:hAnsi="Arial"/>
          <w:sz w:val="22"/>
          <w:szCs w:val="22"/>
        </w:rPr>
        <w:t>Leitidee</w:t>
      </w:r>
      <w:r w:rsidRPr="00934AE1">
        <w:rPr>
          <w:rFonts w:ascii="Arial" w:hAnsi="Arial"/>
          <w:i/>
          <w:sz w:val="22"/>
          <w:szCs w:val="22"/>
        </w:rPr>
        <w:t xml:space="preserve"> Funktionaler Zusammenhang</w:t>
      </w:r>
      <w:r w:rsidRPr="00CA4F42">
        <w:rPr>
          <w:rFonts w:ascii="Arial" w:hAnsi="Arial"/>
          <w:sz w:val="22"/>
          <w:szCs w:val="22"/>
        </w:rPr>
        <w:t xml:space="preserve"> (L4) zugeordnet, da sich Schülerinnen und Schüler mit der graphischen Darstellung einer linearen Funktion auseinandersetzen. </w:t>
      </w:r>
    </w:p>
    <w:p w:rsidR="00F534ED" w:rsidRPr="00CA4F42" w:rsidRDefault="00F534ED" w:rsidP="00F534ED">
      <w:pPr>
        <w:pStyle w:val="IQB-AnweisungenText"/>
        <w:rPr>
          <w:rFonts w:ascii="Arial" w:hAnsi="Arial"/>
          <w:sz w:val="22"/>
          <w:szCs w:val="22"/>
        </w:rPr>
      </w:pPr>
      <w:r w:rsidRPr="00CA4F42">
        <w:rPr>
          <w:rFonts w:ascii="Arial" w:hAnsi="Arial"/>
          <w:sz w:val="22"/>
          <w:szCs w:val="22"/>
        </w:rPr>
        <w:t xml:space="preserve">Zur Lösung der beiden Teilaufgaben ist es notwendig, mit der gegebenen Darstellung umzugehen und die Punkte in Bezug zu der Geraden im Koordinatensystem zu setzen. Die Kompetenz </w:t>
      </w:r>
      <w:r w:rsidRPr="0097766D">
        <w:rPr>
          <w:rFonts w:ascii="Arial" w:hAnsi="Arial"/>
          <w:i/>
          <w:sz w:val="22"/>
          <w:szCs w:val="22"/>
        </w:rPr>
        <w:t>Mathematische Darstellungen verwenden</w:t>
      </w:r>
      <w:r w:rsidRPr="00CA4F42">
        <w:rPr>
          <w:rFonts w:ascii="Arial" w:hAnsi="Arial"/>
          <w:sz w:val="22"/>
          <w:szCs w:val="22"/>
        </w:rPr>
        <w:t xml:space="preserve"> (K4) ist demnach erforderlich. </w:t>
      </w:r>
    </w:p>
    <w:p w:rsidR="00F534ED" w:rsidRPr="00CA4F42" w:rsidRDefault="00F534ED" w:rsidP="00F534ED">
      <w:pPr>
        <w:pStyle w:val="IQB-AnweisungenText"/>
        <w:rPr>
          <w:rFonts w:ascii="Arial" w:hAnsi="Arial"/>
          <w:sz w:val="22"/>
          <w:szCs w:val="22"/>
        </w:rPr>
      </w:pPr>
      <w:r w:rsidRPr="00CA4F42">
        <w:rPr>
          <w:rFonts w:ascii="Arial" w:hAnsi="Arial"/>
          <w:sz w:val="22"/>
          <w:szCs w:val="22"/>
        </w:rPr>
        <w:t>Weil es sich um eine für Schülerinnen und Schüler bekannte Standarddarstellung handelt, ist die Aufgabe in den Anforderungsbereich I einzuordnen.</w:t>
      </w:r>
    </w:p>
    <w:p w:rsidR="00694A63" w:rsidRPr="00694A63" w:rsidRDefault="00694A63" w:rsidP="00694A63">
      <w:pPr>
        <w:pStyle w:val="IQB-Teilaufgabentitel"/>
        <w:rPr>
          <w:b/>
        </w:rPr>
      </w:pPr>
      <w:r w:rsidRPr="00694A63">
        <w:rPr>
          <w:b/>
        </w:rPr>
        <w:t>Anregungen für den Unterricht</w:t>
      </w:r>
    </w:p>
    <w:p w:rsidR="00F534ED" w:rsidRPr="00CA4F42" w:rsidRDefault="00F534ED" w:rsidP="00F534ED">
      <w:pPr>
        <w:pStyle w:val="IQB-AnweisungenText"/>
        <w:spacing w:before="0"/>
        <w:rPr>
          <w:rFonts w:ascii="Arial" w:hAnsi="Arial"/>
          <w:sz w:val="22"/>
          <w:szCs w:val="22"/>
        </w:rPr>
      </w:pPr>
      <w:r w:rsidRPr="00CA4F42">
        <w:rPr>
          <w:rFonts w:ascii="Arial" w:hAnsi="Arial"/>
          <w:sz w:val="22"/>
          <w:szCs w:val="22"/>
        </w:rPr>
        <w:t>Schülerinnen und Schüler werden in dieser Aufgabe aufgefordert einen Darstellungswechsel durchzuführen. In Teilaufgabe 1 geschieht dies implizit, wenn Schülerinnen und Schüler die Informationen über Koordinaten von Punkten mit der Lage einer Geraden im Koordinatensystem vergleichen; in Teilaufgabe 2 dann explizit</w:t>
      </w:r>
      <w:r>
        <w:rPr>
          <w:rFonts w:ascii="Arial" w:hAnsi="Arial"/>
          <w:sz w:val="22"/>
          <w:szCs w:val="22"/>
        </w:rPr>
        <w:t>,</w:t>
      </w:r>
      <w:r w:rsidRPr="00CA4F42">
        <w:rPr>
          <w:rFonts w:ascii="Arial" w:hAnsi="Arial"/>
          <w:sz w:val="22"/>
          <w:szCs w:val="22"/>
        </w:rPr>
        <w:t xml:space="preserve"> wenn sie einen durch Koordinaten beschriebenen Punkt in das Koordinatensystem einzeichnen. Der Umgang mit Darstellungs</w:t>
      </w:r>
      <w:bookmarkStart w:id="0" w:name="_GoBack"/>
      <w:bookmarkEnd w:id="0"/>
      <w:r w:rsidRPr="00CA4F42">
        <w:rPr>
          <w:rFonts w:ascii="Arial" w:hAnsi="Arial"/>
          <w:sz w:val="22"/>
          <w:szCs w:val="22"/>
        </w:rPr>
        <w:t xml:space="preserve">wechseln ist didaktisch bedeutsam, da dadurch beim Lernenden gedankliche Verknüpfungen angeregt werden, die zum nachhaltigen Lernen mathematischer Inhalte beitragen. Darstellungswechsel flexibel durchführen zu können ist ein wesentlicher Aspekt des Begriffsverständnisses zu funktionalen Zusammenhängen. </w:t>
      </w:r>
    </w:p>
    <w:p w:rsidR="00F534ED" w:rsidRPr="00CA4F42" w:rsidRDefault="00F534ED" w:rsidP="00F534ED">
      <w:pPr>
        <w:pStyle w:val="IQB-AnweisungenText"/>
        <w:rPr>
          <w:rFonts w:ascii="Arial" w:hAnsi="Arial"/>
          <w:sz w:val="22"/>
          <w:szCs w:val="22"/>
        </w:rPr>
      </w:pPr>
      <w:r w:rsidRPr="00CA4F42">
        <w:rPr>
          <w:rFonts w:ascii="Arial" w:hAnsi="Arial"/>
          <w:sz w:val="22"/>
          <w:szCs w:val="22"/>
        </w:rPr>
        <w:t>Der in der Aufgabe „Wo sind die Punkte?“ fokussierte Darstellungswechsel kann Schülerinnen und Schüler auch durch ein Spiel nähergebracht werden.</w:t>
      </w:r>
    </w:p>
    <w:p w:rsidR="00F534ED" w:rsidRPr="00CA4F42" w:rsidRDefault="00F534ED" w:rsidP="00F534ED">
      <w:pPr>
        <w:pStyle w:val="IQB-AnweisungenText"/>
        <w:rPr>
          <w:rFonts w:ascii="Arial" w:hAnsi="Arial"/>
          <w:sz w:val="22"/>
          <w:szCs w:val="22"/>
        </w:rPr>
      </w:pPr>
      <w:r w:rsidRPr="00CA4F42">
        <w:rPr>
          <w:rFonts w:ascii="Arial" w:hAnsi="Arial"/>
          <w:sz w:val="22"/>
          <w:szCs w:val="22"/>
        </w:rPr>
        <w:t xml:space="preserve"> </w:t>
      </w:r>
    </w:p>
    <w:p w:rsidR="00F534ED" w:rsidRPr="00CA4F42" w:rsidRDefault="00F534ED" w:rsidP="00F534ED">
      <w:pPr>
        <w:pStyle w:val="IQB-AnweisungenText"/>
        <w:rPr>
          <w:rFonts w:ascii="Arial" w:hAnsi="Arial"/>
          <w:b/>
          <w:sz w:val="22"/>
          <w:szCs w:val="22"/>
        </w:rPr>
      </w:pPr>
      <w:r w:rsidRPr="00CA4F42">
        <w:rPr>
          <w:rFonts w:ascii="Arial" w:hAnsi="Arial"/>
          <w:b/>
          <w:sz w:val="22"/>
          <w:szCs w:val="22"/>
        </w:rPr>
        <w:t>Vielecke fangen</w:t>
      </w:r>
    </w:p>
    <w:p w:rsidR="00F534ED" w:rsidRPr="00CA4F42" w:rsidRDefault="00F534ED" w:rsidP="00F534ED">
      <w:pPr>
        <w:pStyle w:val="IQB-AnweisungenText"/>
        <w:spacing w:before="0"/>
        <w:rPr>
          <w:rFonts w:ascii="Arial" w:hAnsi="Arial"/>
          <w:sz w:val="22"/>
          <w:szCs w:val="22"/>
        </w:rPr>
      </w:pPr>
      <w:r w:rsidRPr="00CA4F42">
        <w:rPr>
          <w:rFonts w:ascii="Arial" w:hAnsi="Arial"/>
          <w:sz w:val="22"/>
          <w:szCs w:val="22"/>
        </w:rPr>
        <w:t>Das Ziel des Spiels „Vielecke fangen“ lautet: errate die Eckpunkte aller auf dem Spielfeld verteilten Vielecke. Um die Eckpunkte der Vielecke zu erraten, nennen die zwei Spieler abwechselnd die Koordinaten von Punkten. Die Koordinaten der Punkte werden in einer Tabelle notiert, um die richtigen Eintrag</w:t>
      </w:r>
      <w:r>
        <w:rPr>
          <w:rFonts w:ascii="Arial" w:hAnsi="Arial"/>
          <w:sz w:val="22"/>
          <w:szCs w:val="22"/>
        </w:rPr>
        <w:t>ungen</w:t>
      </w:r>
      <w:r w:rsidRPr="00CA4F42">
        <w:rPr>
          <w:rFonts w:ascii="Arial" w:hAnsi="Arial"/>
          <w:sz w:val="22"/>
          <w:szCs w:val="22"/>
        </w:rPr>
        <w:t xml:space="preserve"> später kontrollieren zu können. </w:t>
      </w:r>
    </w:p>
    <w:p w:rsidR="00F534ED" w:rsidRPr="00CA4F42" w:rsidRDefault="00F534ED" w:rsidP="00F534ED">
      <w:pPr>
        <w:pStyle w:val="IQB-AnweisungenText"/>
        <w:spacing w:after="120"/>
        <w:rPr>
          <w:rFonts w:ascii="Arial" w:hAnsi="Arial"/>
          <w:sz w:val="22"/>
          <w:szCs w:val="22"/>
        </w:rPr>
      </w:pPr>
      <w:r w:rsidRPr="00CA4F42">
        <w:rPr>
          <w:rFonts w:ascii="Arial" w:hAnsi="Arial"/>
          <w:sz w:val="22"/>
          <w:szCs w:val="22"/>
        </w:rPr>
        <w:t xml:space="preserve">Der Spielpartner gibt nur an, ob der Punkt außerhalb, innen, auf der Seite oder Ecke einer geometrischen Figur liegt. Es gilt die Einschränkung, dass die Koordinaten immer ganzzahlig sind. </w:t>
      </w:r>
      <w:r w:rsidRPr="00CA4F42">
        <w:rPr>
          <w:rFonts w:ascii="Arial" w:hAnsi="Arial"/>
          <w:sz w:val="22"/>
          <w:szCs w:val="22"/>
        </w:rPr>
        <w:lastRenderedPageBreak/>
        <w:t>Dabei kann das Spiel zunächst auf den ersten Quadranten eingegrenzt und später die übrigen Quadranten hinzugenommen werden.</w:t>
      </w:r>
      <w:r w:rsidRPr="00CA4F42">
        <w:rPr>
          <w:rStyle w:val="Funotenzeichen"/>
          <w:rFonts w:ascii="Arial" w:hAnsi="Arial"/>
          <w:sz w:val="22"/>
          <w:szCs w:val="22"/>
        </w:rPr>
        <w:footnoteReference w:id="1"/>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224"/>
      </w:tblGrid>
      <w:tr w:rsidR="00F534ED" w:rsidRPr="00CA4F42" w:rsidTr="00E73945">
        <w:trPr>
          <w:trHeight w:val="4458"/>
        </w:trPr>
        <w:tc>
          <w:tcPr>
            <w:tcW w:w="9224" w:type="dxa"/>
            <w:shd w:val="clear" w:color="auto" w:fill="auto"/>
          </w:tcPr>
          <w:p w:rsidR="00F534ED" w:rsidRPr="00FE6928" w:rsidRDefault="00F534ED" w:rsidP="00E73945">
            <w:pPr>
              <w:pStyle w:val="IQB-AnweisungenText"/>
              <w:spacing w:after="60"/>
              <w:rPr>
                <w:rFonts w:ascii="Arial" w:hAnsi="Arial"/>
                <w:sz w:val="22"/>
                <w:szCs w:val="22"/>
              </w:rPr>
            </w:pPr>
            <w:r w:rsidRPr="00FE6928">
              <w:rPr>
                <w:rFonts w:ascii="Arial" w:hAnsi="Arial"/>
                <w:sz w:val="22"/>
                <w:szCs w:val="22"/>
              </w:rPr>
              <w:t>Vor Spielbeginn wird festgelegt, welche geometris</w:t>
            </w:r>
            <w:r>
              <w:rPr>
                <w:rFonts w:ascii="Arial" w:hAnsi="Arial"/>
                <w:sz w:val="22"/>
                <w:szCs w:val="22"/>
              </w:rPr>
              <w:t>chen Figuren verwendet werden, z.</w:t>
            </w:r>
            <w:r w:rsidRPr="00A578AF">
              <w:rPr>
                <w:rFonts w:ascii="Arial" w:hAnsi="Arial"/>
                <w:sz w:val="12"/>
                <w:szCs w:val="12"/>
              </w:rPr>
              <w:t> </w:t>
            </w:r>
            <w:r>
              <w:rPr>
                <w:rFonts w:ascii="Arial" w:hAnsi="Arial"/>
                <w:sz w:val="22"/>
                <w:szCs w:val="22"/>
              </w:rPr>
              <w:t>B.</w:t>
            </w:r>
            <w:r w:rsidRPr="00FE6928">
              <w:rPr>
                <w:rFonts w:ascii="Arial" w:hAnsi="Arial"/>
                <w:sz w:val="22"/>
                <w:szCs w:val="22"/>
              </w:rPr>
              <w:t>:</w:t>
            </w:r>
          </w:p>
          <w:p w:rsidR="00F534ED" w:rsidRPr="00FE6928" w:rsidRDefault="00F534ED" w:rsidP="00F534ED">
            <w:pPr>
              <w:pStyle w:val="IQB-AnweisungenText"/>
              <w:numPr>
                <w:ilvl w:val="0"/>
                <w:numId w:val="13"/>
              </w:numPr>
              <w:spacing w:after="60"/>
              <w:jc w:val="both"/>
              <w:rPr>
                <w:rFonts w:ascii="Arial" w:hAnsi="Arial"/>
                <w:sz w:val="22"/>
                <w:szCs w:val="22"/>
              </w:rPr>
            </w:pPr>
            <w:r w:rsidRPr="00FE6928">
              <w:rPr>
                <w:rFonts w:ascii="Arial" w:hAnsi="Arial"/>
                <w:sz w:val="22"/>
                <w:szCs w:val="22"/>
              </w:rPr>
              <w:t>fünf verschiedene Rechtecke</w:t>
            </w:r>
          </w:p>
          <w:p w:rsidR="00F534ED" w:rsidRPr="00FE6928" w:rsidRDefault="00F534ED" w:rsidP="00F534ED">
            <w:pPr>
              <w:pStyle w:val="IQB-AnweisungenText"/>
              <w:numPr>
                <w:ilvl w:val="0"/>
                <w:numId w:val="13"/>
              </w:numPr>
              <w:spacing w:after="60"/>
              <w:jc w:val="both"/>
              <w:rPr>
                <w:rFonts w:ascii="Arial" w:hAnsi="Arial"/>
                <w:sz w:val="22"/>
                <w:szCs w:val="22"/>
              </w:rPr>
            </w:pPr>
            <w:r w:rsidRPr="00FE6928">
              <w:rPr>
                <w:rFonts w:ascii="Arial" w:hAnsi="Arial"/>
                <w:sz w:val="22"/>
                <w:szCs w:val="22"/>
              </w:rPr>
              <w:t>ein Dreieck, ein Quadrat, ein Trapez (siehe Abbildung)</w:t>
            </w:r>
          </w:p>
          <w:p w:rsidR="00F534ED" w:rsidRPr="00FE6928" w:rsidRDefault="00F534ED" w:rsidP="00E73945">
            <w:pPr>
              <w:pStyle w:val="IQB-AnweisungenText"/>
              <w:spacing w:after="60"/>
              <w:rPr>
                <w:rFonts w:ascii="Arial" w:hAnsi="Arial"/>
                <w:sz w:val="22"/>
                <w:szCs w:val="22"/>
              </w:rPr>
            </w:pPr>
            <w:r w:rsidRPr="00FE6928">
              <w:rPr>
                <w:noProof/>
              </w:rPr>
              <w:t xml:space="preserve">             </w:t>
            </w:r>
            <w:r w:rsidRPr="00FE6928">
              <w:rPr>
                <w:noProof/>
              </w:rPr>
              <w:drawing>
                <wp:inline distT="0" distB="0" distL="0" distR="0">
                  <wp:extent cx="1856105" cy="1810385"/>
                  <wp:effectExtent l="19050" t="19050" r="10795" b="1841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8" cstate="print">
                            <a:grayscl/>
                            <a:extLst>
                              <a:ext uri="{28A0092B-C50C-407E-A947-70E740481C1C}">
                                <a14:useLocalDpi xmlns:a14="http://schemas.microsoft.com/office/drawing/2010/main" val="0"/>
                              </a:ext>
                            </a:extLst>
                          </a:blip>
                          <a:srcRect/>
                          <a:stretch>
                            <a:fillRect/>
                          </a:stretch>
                        </pic:blipFill>
                        <pic:spPr bwMode="auto">
                          <a:xfrm>
                            <a:off x="0" y="0"/>
                            <a:ext cx="1856105" cy="1810385"/>
                          </a:xfrm>
                          <a:prstGeom prst="rect">
                            <a:avLst/>
                          </a:prstGeom>
                          <a:noFill/>
                          <a:ln w="6350" cmpd="sng">
                            <a:solidFill>
                              <a:srgbClr val="000000"/>
                            </a:solidFill>
                            <a:miter lim="800000"/>
                            <a:headEnd/>
                            <a:tailEnd/>
                          </a:ln>
                          <a:effectLst/>
                        </pic:spPr>
                      </pic:pic>
                    </a:graphicData>
                  </a:graphic>
                </wp:inline>
              </w:drawing>
            </w:r>
          </w:p>
        </w:tc>
      </w:tr>
    </w:tbl>
    <w:p w:rsidR="00694A63" w:rsidRPr="005B2F65" w:rsidRDefault="00694A63" w:rsidP="00F534ED">
      <w:pPr>
        <w:pStyle w:val="IQB-AnweisungenText"/>
        <w:spacing w:before="0"/>
        <w:rPr>
          <w:sz w:val="22"/>
          <w:szCs w:val="22"/>
        </w:rPr>
      </w:pPr>
    </w:p>
    <w:sectPr w:rsidR="00694A63" w:rsidRPr="005B2F65" w:rsidSect="00DB65DC">
      <w:headerReference w:type="even" r:id="rId9"/>
      <w:headerReference w:type="default" r:id="rId10"/>
      <w:footerReference w:type="even" r:id="rId11"/>
      <w:footerReference w:type="default" r:id="rId12"/>
      <w:headerReference w:type="first" r:id="rId13"/>
      <w:footerReference w:type="first" r:id="rId14"/>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subsetted="1" w:fontKey="{BD42B4DB-4027-4DAF-8764-0ACEDCE8582C}"/>
  </w:font>
  <w:font w:name="Arial">
    <w:panose1 w:val="020B0604020202020204"/>
    <w:charset w:val="00"/>
    <w:family w:val="swiss"/>
    <w:pitch w:val="variable"/>
    <w:sig w:usb0="E0002EFF" w:usb1="C000785B" w:usb2="00000009" w:usb3="00000000" w:csb0="000001FF" w:csb1="00000000"/>
    <w:embedRegular r:id="rId2" w:fontKey="{96954814-E46D-4F5A-83A2-FBC3E20986EF}"/>
    <w:embedBold r:id="rId3" w:fontKey="{FAA0BF37-2B24-42FE-B020-C39B3A833AAD}"/>
    <w:embedItalic r:id="rId4" w:fontKey="{B0A68731-633D-4E19-8AC8-83BD36814E3A}"/>
    <w:embedBoldItalic r:id="rId5" w:fontKey="{6518628D-0740-4961-99D2-4214FD18FB9C}"/>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 w:id="1">
    <w:p w:rsidR="00F534ED" w:rsidRDefault="00F534ED" w:rsidP="00F534ED">
      <w:pPr>
        <w:pStyle w:val="Funotentext"/>
      </w:pPr>
      <w:r>
        <w:rPr>
          <w:rStyle w:val="Funotenzeichen"/>
        </w:rPr>
        <w:footnoteRef/>
      </w:r>
      <w:r>
        <w:t xml:space="preserve"> Vgl.</w:t>
      </w:r>
      <w:r w:rsidRPr="00827D93">
        <w:t xml:space="preserve"> </w:t>
      </w:r>
      <w:proofErr w:type="spellStart"/>
      <w:r w:rsidRPr="00827D93">
        <w:t>Bentzinger</w:t>
      </w:r>
      <w:proofErr w:type="spellEnd"/>
      <w:r w:rsidRPr="00827D93">
        <w:t>, W. u. a. (1991): Kurs Mathematik 8</w:t>
      </w:r>
      <w:r>
        <w:t>, Frankfurt: Diesterweg, S. 148.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30D5EAC"/>
    <w:multiLevelType w:val="hybridMultilevel"/>
    <w:tmpl w:val="7D2EB2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2"/>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21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41FAF"/>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534ED"/>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61"/>
    <o:shapelayout v:ext="edit">
      <o:idmap v:ext="edit" data="1"/>
    </o:shapelayout>
  </w:shapeDefaults>
  <w:decimalSymbol w:val=","/>
  <w:listSeparator w:val=";"/>
  <w14:docId w14:val="33225471"/>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 w:type="paragraph" w:styleId="Funotentext">
    <w:name w:val="footnote text"/>
    <w:basedOn w:val="Standard"/>
    <w:link w:val="FunotentextZchn"/>
    <w:rsid w:val="00F534ED"/>
    <w:rPr>
      <w:rFonts w:ascii="Arial" w:hAnsi="Arial"/>
      <w:sz w:val="20"/>
      <w:szCs w:val="20"/>
      <w:lang w:val="x-none" w:eastAsia="x-none"/>
    </w:rPr>
  </w:style>
  <w:style w:type="character" w:customStyle="1" w:styleId="FunotentextZchn">
    <w:name w:val="Fußnotentext Zchn"/>
    <w:basedOn w:val="Absatz-Standardschriftart"/>
    <w:link w:val="Funotentext"/>
    <w:rsid w:val="00F534ED"/>
    <w:rPr>
      <w:rFonts w:ascii="Arial" w:hAnsi="Arial"/>
      <w:lang w:val="x-none" w:eastAsia="x-none"/>
    </w:rPr>
  </w:style>
  <w:style w:type="character" w:styleId="Funotenzeichen">
    <w:name w:val="footnote reference"/>
    <w:rsid w:val="00F534E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85FDE27-5515-4949-9A59-9864AA1046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350</Words>
  <Characters>2427</Characters>
  <Application>Microsoft Office Word</Application>
  <DocSecurity>0</DocSecurity>
  <Lines>53</Lines>
  <Paragraphs>33</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2025-07-21T08:09:00Z</dcterms:created>
  <dcterms:modified xsi:type="dcterms:W3CDTF">2025-07-21T08:09:00Z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